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88480" w14:textId="77777777" w:rsidR="0013320D" w:rsidRDefault="0013320D"/>
    <w:p w14:paraId="22C01238" w14:textId="77777777" w:rsidR="00FB6978" w:rsidRDefault="00FB6978"/>
    <w:p w14:paraId="3D87C184" w14:textId="77777777" w:rsidR="0013320D" w:rsidRPr="00FB6978" w:rsidRDefault="0013320D" w:rsidP="0013320D">
      <w:pPr>
        <w:pStyle w:val="NormalWeb"/>
        <w:rPr>
          <w:rFonts w:ascii="Calibri" w:hAnsi="Calibri"/>
          <w:b/>
        </w:rPr>
      </w:pPr>
      <w:r w:rsidRPr="00FB6978">
        <w:rPr>
          <w:rFonts w:ascii="Calibri" w:hAnsi="Calibri"/>
          <w:b/>
        </w:rPr>
        <w:t>Sandy Spring Friends Meeting COVID Safety Guidelines</w:t>
      </w:r>
    </w:p>
    <w:p w14:paraId="1C17B042" w14:textId="4A8E069D" w:rsidR="00FB6978" w:rsidRDefault="0013320D" w:rsidP="0013320D">
      <w:pPr>
        <w:pStyle w:val="NormalWeb"/>
        <w:rPr>
          <w:rFonts w:ascii="Calibri" w:hAnsi="Calibri"/>
        </w:rPr>
      </w:pPr>
      <w:r>
        <w:rPr>
          <w:rFonts w:ascii="Calibri" w:hAnsi="Calibri"/>
        </w:rPr>
        <w:t xml:space="preserve">The Ad Hoc Public Health and Safety Committee </w:t>
      </w:r>
      <w:r w:rsidR="00FB6978">
        <w:rPr>
          <w:rFonts w:ascii="Calibri" w:hAnsi="Calibri"/>
        </w:rPr>
        <w:t>has been tasked with providing reasonably safe practices for the Meeting’s in-person gatherings.  The committee consists</w:t>
      </w:r>
      <w:r w:rsidR="00E178C7">
        <w:rPr>
          <w:rFonts w:ascii="Calibri" w:hAnsi="Calibri"/>
        </w:rPr>
        <w:t xml:space="preserve"> of</w:t>
      </w:r>
      <w:r w:rsidR="00FB6978">
        <w:rPr>
          <w:rFonts w:ascii="Calibri" w:hAnsi="Calibri"/>
        </w:rPr>
        <w:t xml:space="preserve"> members of Sandy Spring Friends </w:t>
      </w:r>
      <w:r w:rsidR="001641D4">
        <w:rPr>
          <w:rFonts w:ascii="Calibri" w:hAnsi="Calibri"/>
        </w:rPr>
        <w:t xml:space="preserve">Monthly </w:t>
      </w:r>
      <w:r w:rsidR="00FB6978">
        <w:rPr>
          <w:rFonts w:ascii="Calibri" w:hAnsi="Calibri"/>
        </w:rPr>
        <w:t xml:space="preserve">Meeting </w:t>
      </w:r>
      <w:r w:rsidR="001641D4">
        <w:rPr>
          <w:rFonts w:ascii="Calibri" w:hAnsi="Calibri"/>
        </w:rPr>
        <w:t xml:space="preserve">(SSMM) </w:t>
      </w:r>
      <w:r w:rsidR="00FB6978">
        <w:rPr>
          <w:rFonts w:ascii="Calibri" w:hAnsi="Calibri"/>
        </w:rPr>
        <w:t xml:space="preserve">including Trustees Committee and Religious Education Committee.  </w:t>
      </w:r>
      <w:bookmarkStart w:id="0" w:name="_Hlk150937680"/>
      <w:r w:rsidR="00FB6978">
        <w:rPr>
          <w:rFonts w:ascii="Calibri" w:hAnsi="Calibri"/>
        </w:rPr>
        <w:t>The Ad Hoc Public Health and Safety Committee are incorporating guidelines for determining sa</w:t>
      </w:r>
      <w:bookmarkEnd w:id="0"/>
      <w:r w:rsidR="00FB6978">
        <w:rPr>
          <w:rFonts w:ascii="Calibri" w:hAnsi="Calibri"/>
        </w:rPr>
        <w:t xml:space="preserve">fe practices in the Sandy Spring Meeting, both for Meeting for Worship and other social gatherings.  These guidelines are meant to be helpful and provide a degree of transparency in the decision-making process.  The guidelines are </w:t>
      </w:r>
      <w:r w:rsidR="000C0F3D">
        <w:rPr>
          <w:rFonts w:ascii="Calibri" w:hAnsi="Calibri"/>
        </w:rPr>
        <w:t>based  on</w:t>
      </w:r>
      <w:r w:rsidR="00FB6978">
        <w:rPr>
          <w:rFonts w:ascii="Calibri" w:hAnsi="Calibri"/>
        </w:rPr>
        <w:t xml:space="preserve"> what was instituted at the Bethesda Meeting in May 2022</w:t>
      </w:r>
      <w:r w:rsidR="001641D4">
        <w:rPr>
          <w:rFonts w:ascii="Calibri" w:hAnsi="Calibri"/>
        </w:rPr>
        <w:t xml:space="preserve"> but adapted to fit the needs of SSMM</w:t>
      </w:r>
      <w:r w:rsidR="00FB6978">
        <w:rPr>
          <w:rFonts w:ascii="Calibri" w:hAnsi="Calibri"/>
        </w:rPr>
        <w:t>.</w:t>
      </w:r>
    </w:p>
    <w:p w14:paraId="53D19C82" w14:textId="77777777" w:rsidR="0013320D" w:rsidRDefault="00FB6978" w:rsidP="0013320D">
      <w:pPr>
        <w:pStyle w:val="NormalWeb"/>
        <w:rPr>
          <w:rFonts w:ascii="Calibri" w:hAnsi="Calibri"/>
        </w:rPr>
      </w:pPr>
      <w:r>
        <w:rPr>
          <w:rFonts w:ascii="Calibri" w:hAnsi="Calibri"/>
        </w:rPr>
        <w:t xml:space="preserve">Members of the committee will be monitoring CDC and Montgomery County COVID risk indicators on a weekly basis.  Based on the information on the level of risk in the community, the committee </w:t>
      </w:r>
      <w:r w:rsidRPr="00122694">
        <w:rPr>
          <w:rFonts w:asciiTheme="minorHAnsi" w:hAnsiTheme="minorHAnsi"/>
        </w:rPr>
        <w:t>will determine whether to maintain the current risk level or adjust the risk level to the appropriate level.</w:t>
      </w:r>
      <w:r w:rsidR="00122694" w:rsidRPr="00122694">
        <w:rPr>
          <w:rFonts w:asciiTheme="minorHAnsi" w:hAnsiTheme="minorHAnsi"/>
        </w:rPr>
        <w:t xml:space="preserve">  People who are immunocompromised should follow safety guidance from their health care provider.</w:t>
      </w:r>
      <w:r w:rsidR="00122694">
        <w:t xml:space="preserve"> </w:t>
      </w:r>
      <w:r w:rsidR="00122694" w:rsidRPr="001B44DE">
        <w:t xml:space="preserve"> </w:t>
      </w:r>
    </w:p>
    <w:p w14:paraId="2B6DFA79" w14:textId="77777777" w:rsidR="0013320D" w:rsidRDefault="0013320D" w:rsidP="0013320D">
      <w:pPr>
        <w:pStyle w:val="NormalWeb"/>
      </w:pPr>
      <w:r>
        <w:rPr>
          <w:rFonts w:ascii="Calibri" w:hAnsi="Calibri"/>
        </w:rPr>
        <w:t xml:space="preserve">To help decide what is reasonably safe, the Ad Hoc Public Health and Safety Committee considers two basic sources of information about COVID-19 conditions in Montgomery County: </w:t>
      </w:r>
    </w:p>
    <w:p w14:paraId="352EC63B" w14:textId="5801DE23" w:rsidR="0013320D" w:rsidRDefault="0013320D" w:rsidP="0013320D">
      <w:pPr>
        <w:pStyle w:val="NormalWeb"/>
        <w:numPr>
          <w:ilvl w:val="0"/>
          <w:numId w:val="1"/>
        </w:num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The CDC’s COVID-19</w:t>
      </w:r>
      <w:r w:rsidR="001F2F7E">
        <w:rPr>
          <w:rFonts w:ascii="Calibri" w:hAnsi="Calibri"/>
          <w:b/>
          <w:bCs/>
        </w:rPr>
        <w:t xml:space="preserve"> hospitalization </w:t>
      </w:r>
      <w:r>
        <w:rPr>
          <w:rFonts w:ascii="Calibri" w:hAnsi="Calibri"/>
          <w:b/>
          <w:bCs/>
        </w:rPr>
        <w:t xml:space="preserve">-by-County web page at </w:t>
      </w:r>
      <w:r w:rsidR="00E178C7">
        <w:rPr>
          <w:rFonts w:ascii="Calibri" w:hAnsi="Calibri"/>
          <w:b/>
          <w:bCs/>
        </w:rPr>
        <w:t>{</w:t>
      </w:r>
      <w:r w:rsidR="00E178C7" w:rsidRPr="00E178C7">
        <w:rPr>
          <w:rFonts w:ascii="Calibri" w:hAnsi="Calibri"/>
          <w:b/>
          <w:bCs/>
        </w:rPr>
        <w:t>https://covid.cdc.gov/covid-data-tracker/#maps_new-admissions-rate-county</w:t>
      </w:r>
      <w:r w:rsidR="00E178C7">
        <w:rPr>
          <w:rFonts w:ascii="Calibri" w:hAnsi="Calibri"/>
          <w:b/>
          <w:bCs/>
        </w:rPr>
        <w:t xml:space="preserve">} </w:t>
      </w:r>
    </w:p>
    <w:p w14:paraId="5E7789D7" w14:textId="01DF9429" w:rsidR="00854598" w:rsidRDefault="0013320D" w:rsidP="00FB6978">
      <w:pPr>
        <w:pStyle w:val="NormalWeb"/>
        <w:numPr>
          <w:ilvl w:val="0"/>
          <w:numId w:val="1"/>
        </w:num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Montgomery County’s COVID-19 Data Dashboard at </w:t>
      </w:r>
      <w:r>
        <w:rPr>
          <w:rFonts w:ascii="Calibri" w:hAnsi="Calibri"/>
          <w:b/>
          <w:bCs/>
          <w:color w:val="00007F"/>
        </w:rPr>
        <w:t>https://www.montgomerycountymd.gov/covid19/data/</w:t>
      </w:r>
      <w:r>
        <w:rPr>
          <w:rFonts w:ascii="Calibri" w:hAnsi="Calibri"/>
          <w:b/>
          <w:bCs/>
        </w:rPr>
        <w:t xml:space="preserve">. This site provides a wealth of data for our area, including trend graphs and level status for eight different indicators. </w:t>
      </w:r>
    </w:p>
    <w:p w14:paraId="7D40611B" w14:textId="486C1814" w:rsidR="001641D4" w:rsidRPr="00B33DC9" w:rsidRDefault="002B019B" w:rsidP="00B33DC9">
      <w:pPr>
        <w:ind w:firstLine="360"/>
        <w:rPr>
          <w:rFonts w:eastAsia="Times New Roman" w:cs="Times New Roman"/>
        </w:rPr>
      </w:pPr>
      <w:r>
        <w:rPr>
          <w:bCs/>
        </w:rPr>
        <w:t>We want to</w:t>
      </w:r>
      <w:r w:rsidR="001641D4" w:rsidRPr="00B33DC9">
        <w:rPr>
          <w:bCs/>
        </w:rPr>
        <w:t xml:space="preserve"> maintain a</w:t>
      </w:r>
      <w:r w:rsidR="001641D4" w:rsidRPr="00B33DC9">
        <w:rPr>
          <w:b/>
          <w:bCs/>
        </w:rPr>
        <w:t xml:space="preserve"> </w:t>
      </w:r>
      <w:r w:rsidR="001641D4" w:rsidRPr="00B33DC9">
        <w:rPr>
          <w:rFonts w:eastAsia="Times New Roman" w:cs="Times New Roman"/>
          <w:color w:val="000000"/>
        </w:rPr>
        <w:t>commitment to a balanced consideration of </w:t>
      </w:r>
      <w:r w:rsidR="001641D4" w:rsidRPr="00B33DC9">
        <w:rPr>
          <w:rFonts w:eastAsia="Times New Roman" w:cs="Times New Roman"/>
          <w:i/>
          <w:iCs/>
          <w:color w:val="000000"/>
        </w:rPr>
        <w:t>safety</w:t>
      </w:r>
      <w:r w:rsidR="00D2797E">
        <w:rPr>
          <w:rFonts w:eastAsia="Times New Roman" w:cs="Times New Roman"/>
          <w:color w:val="000000"/>
        </w:rPr>
        <w:t xml:space="preserve"> (based on sources above)</w:t>
      </w:r>
      <w:r w:rsidR="00170496">
        <w:rPr>
          <w:rFonts w:eastAsia="Times New Roman" w:cs="Times New Roman"/>
          <w:color w:val="000000"/>
        </w:rPr>
        <w:t>,</w:t>
      </w:r>
      <w:r w:rsidR="00D2797E">
        <w:rPr>
          <w:rFonts w:eastAsia="Times New Roman" w:cs="Times New Roman"/>
          <w:color w:val="000000"/>
        </w:rPr>
        <w:t xml:space="preserve"> </w:t>
      </w:r>
      <w:r w:rsidR="001641D4" w:rsidRPr="00B33DC9">
        <w:rPr>
          <w:rFonts w:eastAsia="Times New Roman" w:cs="Times New Roman"/>
          <w:color w:val="000000"/>
        </w:rPr>
        <w:t>a</w:t>
      </w:r>
      <w:r>
        <w:rPr>
          <w:rFonts w:eastAsia="Times New Roman" w:cs="Times New Roman"/>
          <w:color w:val="000000"/>
        </w:rPr>
        <w:t>s well as,</w:t>
      </w:r>
      <w:r w:rsidR="001641D4" w:rsidRPr="00B33DC9">
        <w:rPr>
          <w:rFonts w:eastAsia="Times New Roman" w:cs="Times New Roman"/>
          <w:color w:val="000000"/>
        </w:rPr>
        <w:t> </w:t>
      </w:r>
      <w:r w:rsidR="001641D4" w:rsidRPr="00B33DC9">
        <w:rPr>
          <w:rFonts w:eastAsia="Times New Roman" w:cs="Times New Roman"/>
          <w:i/>
          <w:iCs/>
          <w:color w:val="000000"/>
        </w:rPr>
        <w:t>maintaining and strengthening our spiritual and community</w:t>
      </w:r>
      <w:r w:rsidR="001641D4" w:rsidRPr="00B33DC9">
        <w:rPr>
          <w:rFonts w:eastAsia="Times New Roman" w:cs="Times New Roman"/>
          <w:color w:val="000000"/>
        </w:rPr>
        <w:t> life in the manner of Friends.</w:t>
      </w:r>
    </w:p>
    <w:p w14:paraId="2C083AAC" w14:textId="6A504058" w:rsidR="00EF23E8" w:rsidRPr="009532A8" w:rsidRDefault="005B45D9" w:rsidP="00B33DC9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3510"/>
        <w:gridCol w:w="4675"/>
      </w:tblGrid>
      <w:tr w:rsidR="00854598" w:rsidRPr="0013320D" w14:paraId="1521E551" w14:textId="77777777" w:rsidTr="00B33EB6">
        <w:tc>
          <w:tcPr>
            <w:tcW w:w="1165" w:type="dxa"/>
            <w:shd w:val="clear" w:color="auto" w:fill="E7E6E6" w:themeFill="background2"/>
          </w:tcPr>
          <w:p w14:paraId="2AEFF717" w14:textId="77777777" w:rsidR="00854598" w:rsidRPr="00B33EB6" w:rsidRDefault="00854598" w:rsidP="001B44DE">
            <w:pPr>
              <w:rPr>
                <w:b/>
              </w:rPr>
            </w:pPr>
            <w:bookmarkStart w:id="1" w:name="_GoBack" w:colFirst="0" w:colLast="2"/>
            <w:r w:rsidRPr="00B33EB6">
              <w:rPr>
                <w:b/>
              </w:rPr>
              <w:lastRenderedPageBreak/>
              <w:t>Risk Level</w:t>
            </w:r>
          </w:p>
        </w:tc>
        <w:tc>
          <w:tcPr>
            <w:tcW w:w="3510" w:type="dxa"/>
            <w:shd w:val="clear" w:color="auto" w:fill="E7E6E6" w:themeFill="background2"/>
          </w:tcPr>
          <w:p w14:paraId="52E6FC1B" w14:textId="77777777" w:rsidR="00854598" w:rsidRPr="00B33EB6" w:rsidRDefault="00854598" w:rsidP="001B44DE">
            <w:pPr>
              <w:rPr>
                <w:b/>
              </w:rPr>
            </w:pPr>
            <w:r w:rsidRPr="00B33EB6">
              <w:rPr>
                <w:b/>
              </w:rPr>
              <w:t>Indicators</w:t>
            </w:r>
          </w:p>
        </w:tc>
        <w:tc>
          <w:tcPr>
            <w:tcW w:w="4675" w:type="dxa"/>
            <w:shd w:val="clear" w:color="auto" w:fill="E7E6E6" w:themeFill="background2"/>
          </w:tcPr>
          <w:p w14:paraId="02626DFB" w14:textId="77777777" w:rsidR="00854598" w:rsidRPr="00B33EB6" w:rsidRDefault="00854598" w:rsidP="001B44DE">
            <w:pPr>
              <w:rPr>
                <w:b/>
              </w:rPr>
            </w:pPr>
            <w:r w:rsidRPr="00B33EB6">
              <w:rPr>
                <w:b/>
              </w:rPr>
              <w:t>Safety Measures</w:t>
            </w:r>
          </w:p>
        </w:tc>
      </w:tr>
      <w:bookmarkEnd w:id="1"/>
      <w:tr w:rsidR="00854598" w:rsidRPr="0013320D" w14:paraId="3A502D9B" w14:textId="77777777" w:rsidTr="00B33EB6">
        <w:tc>
          <w:tcPr>
            <w:tcW w:w="1165" w:type="dxa"/>
            <w:shd w:val="clear" w:color="auto" w:fill="A8D08D" w:themeFill="accent6" w:themeFillTint="99"/>
          </w:tcPr>
          <w:p w14:paraId="50671192" w14:textId="77777777" w:rsidR="00854598" w:rsidRPr="0013320D" w:rsidRDefault="00854598" w:rsidP="001B44DE">
            <w:pPr>
              <w:rPr>
                <w:sz w:val="22"/>
                <w:szCs w:val="22"/>
              </w:rPr>
            </w:pPr>
            <w:r w:rsidRPr="0013320D">
              <w:rPr>
                <w:sz w:val="22"/>
                <w:szCs w:val="22"/>
              </w:rPr>
              <w:t>1</w:t>
            </w:r>
          </w:p>
        </w:tc>
        <w:tc>
          <w:tcPr>
            <w:tcW w:w="3510" w:type="dxa"/>
            <w:shd w:val="clear" w:color="auto" w:fill="A8D08D" w:themeFill="accent6" w:themeFillTint="99"/>
          </w:tcPr>
          <w:p w14:paraId="1D19E0EA" w14:textId="77777777" w:rsidR="00854598" w:rsidRPr="0013320D" w:rsidRDefault="00854598" w:rsidP="001B44DE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3320D">
              <w:rPr>
                <w:sz w:val="22"/>
                <w:szCs w:val="22"/>
              </w:rPr>
              <w:t xml:space="preserve">CDC community </w:t>
            </w:r>
            <w:r>
              <w:rPr>
                <w:sz w:val="22"/>
                <w:szCs w:val="22"/>
              </w:rPr>
              <w:t xml:space="preserve">level </w:t>
            </w:r>
            <w:r w:rsidRPr="0013320D">
              <w:rPr>
                <w:b/>
                <w:sz w:val="22"/>
                <w:szCs w:val="22"/>
              </w:rPr>
              <w:t>Low,</w:t>
            </w:r>
            <w:r w:rsidRPr="0013320D">
              <w:rPr>
                <w:sz w:val="22"/>
                <w:szCs w:val="22"/>
              </w:rPr>
              <w:t xml:space="preserve"> and</w:t>
            </w:r>
          </w:p>
          <w:p w14:paraId="04D62071" w14:textId="77777777" w:rsidR="00854598" w:rsidRPr="0013320D" w:rsidRDefault="00854598" w:rsidP="001B44DE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3320D">
              <w:rPr>
                <w:sz w:val="22"/>
                <w:szCs w:val="22"/>
              </w:rPr>
              <w:t xml:space="preserve">None of Montgomery County’s indicators </w:t>
            </w:r>
            <w:r w:rsidRPr="0013320D">
              <w:rPr>
                <w:b/>
                <w:sz w:val="22"/>
                <w:szCs w:val="22"/>
              </w:rPr>
              <w:t>High</w:t>
            </w:r>
            <w:r w:rsidRPr="0013320D">
              <w:rPr>
                <w:sz w:val="22"/>
                <w:szCs w:val="22"/>
              </w:rPr>
              <w:t>.</w:t>
            </w:r>
          </w:p>
        </w:tc>
        <w:tc>
          <w:tcPr>
            <w:tcW w:w="4675" w:type="dxa"/>
            <w:shd w:val="clear" w:color="auto" w:fill="A8D08D" w:themeFill="accent6" w:themeFillTint="99"/>
          </w:tcPr>
          <w:p w14:paraId="7C2284FB" w14:textId="10EA9B1C" w:rsidR="00905E79" w:rsidRDefault="00854598" w:rsidP="001B44DE">
            <w:pPr>
              <w:rPr>
                <w:sz w:val="22"/>
                <w:szCs w:val="22"/>
              </w:rPr>
            </w:pPr>
            <w:r w:rsidRPr="0013320D">
              <w:rPr>
                <w:sz w:val="22"/>
                <w:szCs w:val="22"/>
              </w:rPr>
              <w:t>-In-person Meeting for Worship in the Meetinghouse</w:t>
            </w:r>
          </w:p>
          <w:p w14:paraId="25A741B4" w14:textId="1234A9A3" w:rsidR="00854598" w:rsidRDefault="00854598" w:rsidP="001B4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Virtual (Zoom) meetings also available</w:t>
            </w:r>
          </w:p>
          <w:p w14:paraId="57A17C09" w14:textId="339A0177" w:rsidR="00905E79" w:rsidRPr="0013320D" w:rsidRDefault="00905E79" w:rsidP="001B4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-Masks optional except in designated areas of Meeting house</w:t>
            </w:r>
          </w:p>
          <w:p w14:paraId="1C906824" w14:textId="7472F2C6" w:rsidR="00854598" w:rsidRPr="0013320D" w:rsidRDefault="00854598" w:rsidP="001B44DE">
            <w:pPr>
              <w:rPr>
                <w:sz w:val="22"/>
                <w:szCs w:val="22"/>
              </w:rPr>
            </w:pPr>
            <w:r w:rsidRPr="0013320D">
              <w:rPr>
                <w:sz w:val="22"/>
                <w:szCs w:val="22"/>
              </w:rPr>
              <w:t>-Food and drink permitted during fellowship in the Lyceum</w:t>
            </w:r>
          </w:p>
          <w:p w14:paraId="6AF7E712" w14:textId="77777777" w:rsidR="00854598" w:rsidRPr="0013320D" w:rsidRDefault="00854598" w:rsidP="001B44DE">
            <w:pPr>
              <w:rPr>
                <w:sz w:val="22"/>
                <w:szCs w:val="22"/>
              </w:rPr>
            </w:pPr>
            <w:r w:rsidRPr="0013320D">
              <w:rPr>
                <w:sz w:val="22"/>
                <w:szCs w:val="22"/>
              </w:rPr>
              <w:t>-First Day School activities indoors or outdoors*</w:t>
            </w:r>
          </w:p>
          <w:p w14:paraId="43688E02" w14:textId="77777777" w:rsidR="00854598" w:rsidRDefault="00854598" w:rsidP="001B44DE">
            <w:pPr>
              <w:rPr>
                <w:sz w:val="22"/>
                <w:szCs w:val="22"/>
              </w:rPr>
            </w:pPr>
            <w:r w:rsidRPr="0013320D">
              <w:rPr>
                <w:sz w:val="22"/>
                <w:szCs w:val="22"/>
              </w:rPr>
              <w:t>-Child care services provided in Lyceum*</w:t>
            </w:r>
          </w:p>
          <w:p w14:paraId="1D1CAEEE" w14:textId="3F535406" w:rsidR="00854598" w:rsidRDefault="00854598" w:rsidP="001B4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-Notification of COVID infection or test positivity</w:t>
            </w:r>
            <w:r w:rsidR="00E178C7">
              <w:rPr>
                <w:sz w:val="22"/>
                <w:szCs w:val="22"/>
              </w:rPr>
              <w:t xml:space="preserve"> to </w:t>
            </w:r>
            <w:r w:rsidR="00905E79">
              <w:rPr>
                <w:sz w:val="22"/>
                <w:szCs w:val="22"/>
              </w:rPr>
              <w:t>meeting coordinator</w:t>
            </w:r>
            <w:r>
              <w:rPr>
                <w:sz w:val="22"/>
                <w:szCs w:val="22"/>
              </w:rPr>
              <w:t xml:space="preserve"> by person attending an in-person community event so SS</w:t>
            </w:r>
            <w:r w:rsidR="005B45D9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M can inform attendees of the same event</w:t>
            </w:r>
          </w:p>
          <w:p w14:paraId="706FAFE2" w14:textId="7ACB3421" w:rsidR="00122694" w:rsidRPr="0013320D" w:rsidRDefault="00122694" w:rsidP="001B4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People with </w:t>
            </w:r>
            <w:r w:rsidR="00905E79">
              <w:rPr>
                <w:sz w:val="22"/>
                <w:szCs w:val="22"/>
              </w:rPr>
              <w:t>cough, sore throat,</w:t>
            </w:r>
            <w:r>
              <w:rPr>
                <w:sz w:val="22"/>
                <w:szCs w:val="22"/>
              </w:rPr>
              <w:t xml:space="preserve"> or fever should only attend Virtual meetings</w:t>
            </w:r>
          </w:p>
          <w:p w14:paraId="07BB5FA0" w14:textId="6BDCDB16" w:rsidR="00854598" w:rsidRPr="0013320D" w:rsidRDefault="00E178C7" w:rsidP="001B4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54598" w:rsidRPr="0013320D">
              <w:rPr>
                <w:sz w:val="22"/>
                <w:szCs w:val="22"/>
              </w:rPr>
              <w:t xml:space="preserve">COVID vaccination </w:t>
            </w:r>
            <w:r w:rsidR="00130ADF">
              <w:rPr>
                <w:sz w:val="22"/>
                <w:szCs w:val="22"/>
              </w:rPr>
              <w:t xml:space="preserve">and boosters </w:t>
            </w:r>
            <w:r w:rsidR="00854598">
              <w:rPr>
                <w:sz w:val="22"/>
                <w:szCs w:val="22"/>
              </w:rPr>
              <w:t xml:space="preserve">strongly </w:t>
            </w:r>
            <w:r w:rsidR="00854598" w:rsidRPr="0013320D">
              <w:rPr>
                <w:sz w:val="22"/>
                <w:szCs w:val="22"/>
              </w:rPr>
              <w:t>recommended</w:t>
            </w:r>
          </w:p>
        </w:tc>
      </w:tr>
      <w:tr w:rsidR="00854598" w:rsidRPr="0013320D" w14:paraId="13E98512" w14:textId="77777777" w:rsidTr="00B33EB6">
        <w:tc>
          <w:tcPr>
            <w:tcW w:w="1165" w:type="dxa"/>
            <w:shd w:val="clear" w:color="auto" w:fill="E2EFD9" w:themeFill="accent6" w:themeFillTint="33"/>
          </w:tcPr>
          <w:p w14:paraId="30F25ACB" w14:textId="77777777" w:rsidR="00854598" w:rsidRPr="0013320D" w:rsidRDefault="00854598" w:rsidP="001B44DE">
            <w:pPr>
              <w:rPr>
                <w:sz w:val="22"/>
                <w:szCs w:val="22"/>
              </w:rPr>
            </w:pPr>
            <w:r w:rsidRPr="0013320D">
              <w:rPr>
                <w:sz w:val="22"/>
                <w:szCs w:val="22"/>
              </w:rPr>
              <w:t>2</w:t>
            </w:r>
          </w:p>
        </w:tc>
        <w:tc>
          <w:tcPr>
            <w:tcW w:w="3510" w:type="dxa"/>
            <w:shd w:val="clear" w:color="auto" w:fill="E2EFD9" w:themeFill="accent6" w:themeFillTint="33"/>
          </w:tcPr>
          <w:p w14:paraId="5C91DC29" w14:textId="77777777" w:rsidR="00854598" w:rsidRPr="0013320D" w:rsidRDefault="00854598" w:rsidP="001B44DE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3320D">
              <w:rPr>
                <w:sz w:val="22"/>
                <w:szCs w:val="22"/>
              </w:rPr>
              <w:t xml:space="preserve">CDC community </w:t>
            </w:r>
            <w:r>
              <w:rPr>
                <w:sz w:val="22"/>
                <w:szCs w:val="22"/>
              </w:rPr>
              <w:t xml:space="preserve"> level </w:t>
            </w:r>
            <w:r w:rsidRPr="0013320D">
              <w:rPr>
                <w:b/>
                <w:sz w:val="22"/>
                <w:szCs w:val="22"/>
              </w:rPr>
              <w:t>Low,</w:t>
            </w:r>
            <w:r w:rsidRPr="0013320D">
              <w:rPr>
                <w:sz w:val="22"/>
                <w:szCs w:val="22"/>
              </w:rPr>
              <w:t xml:space="preserve"> and</w:t>
            </w:r>
          </w:p>
          <w:p w14:paraId="62B7F67F" w14:textId="77777777" w:rsidR="00854598" w:rsidRPr="0013320D" w:rsidRDefault="00854598" w:rsidP="001B44DE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more than one of</w:t>
            </w:r>
            <w:r w:rsidRPr="0013320D">
              <w:rPr>
                <w:sz w:val="22"/>
                <w:szCs w:val="22"/>
              </w:rPr>
              <w:t xml:space="preserve"> Montgomery County’s indicators </w:t>
            </w:r>
            <w:r w:rsidRPr="0013320D">
              <w:rPr>
                <w:b/>
                <w:sz w:val="22"/>
                <w:szCs w:val="22"/>
              </w:rPr>
              <w:t>High</w:t>
            </w:r>
            <w:r w:rsidRPr="0013320D">
              <w:rPr>
                <w:sz w:val="22"/>
                <w:szCs w:val="22"/>
              </w:rPr>
              <w:t>.</w:t>
            </w:r>
          </w:p>
        </w:tc>
        <w:tc>
          <w:tcPr>
            <w:tcW w:w="4675" w:type="dxa"/>
            <w:shd w:val="clear" w:color="auto" w:fill="E2EFD9" w:themeFill="accent6" w:themeFillTint="33"/>
          </w:tcPr>
          <w:p w14:paraId="4A52BCB2" w14:textId="77777777" w:rsidR="00905E79" w:rsidRDefault="00854598" w:rsidP="001B44DE">
            <w:pPr>
              <w:rPr>
                <w:sz w:val="22"/>
                <w:szCs w:val="22"/>
              </w:rPr>
            </w:pPr>
            <w:r w:rsidRPr="0013320D">
              <w:rPr>
                <w:sz w:val="22"/>
                <w:szCs w:val="22"/>
              </w:rPr>
              <w:t>-In-person Meeting for Worship in the Meetinghouse.</w:t>
            </w:r>
            <w:r>
              <w:rPr>
                <w:sz w:val="22"/>
                <w:szCs w:val="22"/>
              </w:rPr>
              <w:t xml:space="preserve"> </w:t>
            </w:r>
          </w:p>
          <w:p w14:paraId="46784BAA" w14:textId="67BC9FFE" w:rsidR="00854598" w:rsidRPr="0013320D" w:rsidRDefault="00854598" w:rsidP="001B4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Virtual (Zoom) meetings also available.</w:t>
            </w:r>
          </w:p>
          <w:p w14:paraId="0FFB9752" w14:textId="77777777" w:rsidR="00854598" w:rsidRDefault="00854598" w:rsidP="001B44DE">
            <w:pPr>
              <w:rPr>
                <w:sz w:val="22"/>
                <w:szCs w:val="22"/>
              </w:rPr>
            </w:pPr>
            <w:r w:rsidRPr="0013320D">
              <w:rPr>
                <w:sz w:val="22"/>
                <w:szCs w:val="22"/>
              </w:rPr>
              <w:t>-Food and drink permitted during fellowship in the Lyceum</w:t>
            </w:r>
          </w:p>
          <w:p w14:paraId="41E8E11B" w14:textId="609BE0E7" w:rsidR="00854598" w:rsidRPr="0013320D" w:rsidRDefault="00854598" w:rsidP="001B4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-Masks strongly </w:t>
            </w:r>
            <w:r w:rsidR="00905E79">
              <w:rPr>
                <w:sz w:val="22"/>
                <w:szCs w:val="22"/>
              </w:rPr>
              <w:t xml:space="preserve">recommended </w:t>
            </w:r>
            <w:r>
              <w:rPr>
                <w:sz w:val="22"/>
                <w:szCs w:val="22"/>
              </w:rPr>
              <w:t>indoors</w:t>
            </w:r>
          </w:p>
          <w:p w14:paraId="1E10AB1E" w14:textId="77777777" w:rsidR="00854598" w:rsidRPr="0013320D" w:rsidRDefault="00854598" w:rsidP="001B44DE">
            <w:pPr>
              <w:rPr>
                <w:sz w:val="22"/>
                <w:szCs w:val="22"/>
              </w:rPr>
            </w:pPr>
            <w:r w:rsidRPr="0013320D">
              <w:rPr>
                <w:sz w:val="22"/>
                <w:szCs w:val="22"/>
              </w:rPr>
              <w:t>-First Day School activities indoors or outdoors*</w:t>
            </w:r>
          </w:p>
          <w:p w14:paraId="00815D5E" w14:textId="77777777" w:rsidR="00854598" w:rsidRDefault="00854598" w:rsidP="001B44DE">
            <w:pPr>
              <w:rPr>
                <w:sz w:val="22"/>
                <w:szCs w:val="22"/>
              </w:rPr>
            </w:pPr>
            <w:r w:rsidRPr="0013320D">
              <w:rPr>
                <w:sz w:val="22"/>
                <w:szCs w:val="22"/>
              </w:rPr>
              <w:t>-Child care services provided in Lyceum*</w:t>
            </w:r>
          </w:p>
          <w:p w14:paraId="7DE78CDA" w14:textId="1A3BCC75" w:rsidR="00854598" w:rsidRDefault="00854598" w:rsidP="001B4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-Notification of COVID infection or test positivity</w:t>
            </w:r>
            <w:r w:rsidR="00130ADF">
              <w:rPr>
                <w:sz w:val="22"/>
                <w:szCs w:val="22"/>
              </w:rPr>
              <w:t xml:space="preserve"> </w:t>
            </w:r>
            <w:r w:rsidR="00905E79">
              <w:rPr>
                <w:sz w:val="22"/>
                <w:szCs w:val="22"/>
              </w:rPr>
              <w:t xml:space="preserve">to meeting coordinator </w:t>
            </w:r>
            <w:r>
              <w:rPr>
                <w:sz w:val="22"/>
                <w:szCs w:val="22"/>
              </w:rPr>
              <w:t>by person attending an in-person community event so SSM can inform attendees of the same event.</w:t>
            </w:r>
          </w:p>
          <w:p w14:paraId="37137FC2" w14:textId="63CCD1DF" w:rsidR="00122694" w:rsidRPr="0013320D" w:rsidRDefault="00122694" w:rsidP="001B4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People with </w:t>
            </w:r>
            <w:r w:rsidR="00905E79">
              <w:rPr>
                <w:sz w:val="22"/>
                <w:szCs w:val="22"/>
              </w:rPr>
              <w:t xml:space="preserve">cough, sore throat, </w:t>
            </w:r>
            <w:r>
              <w:rPr>
                <w:sz w:val="22"/>
                <w:szCs w:val="22"/>
              </w:rPr>
              <w:t>or fever should only attend Virtual meetings</w:t>
            </w:r>
          </w:p>
          <w:p w14:paraId="0218FE89" w14:textId="77777777" w:rsidR="00854598" w:rsidRPr="0013320D" w:rsidRDefault="00854598" w:rsidP="001B4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13320D">
              <w:rPr>
                <w:sz w:val="22"/>
                <w:szCs w:val="22"/>
              </w:rPr>
              <w:t xml:space="preserve">COVID vaccination </w:t>
            </w:r>
            <w:r>
              <w:rPr>
                <w:sz w:val="22"/>
                <w:szCs w:val="22"/>
              </w:rPr>
              <w:t xml:space="preserve"> and boosters strongly r</w:t>
            </w:r>
            <w:r w:rsidRPr="0013320D">
              <w:rPr>
                <w:sz w:val="22"/>
                <w:szCs w:val="22"/>
              </w:rPr>
              <w:t>ecommended</w:t>
            </w:r>
          </w:p>
        </w:tc>
      </w:tr>
      <w:tr w:rsidR="00854598" w:rsidRPr="0013320D" w14:paraId="7D32B003" w14:textId="77777777" w:rsidTr="00B33EB6">
        <w:tc>
          <w:tcPr>
            <w:tcW w:w="1165" w:type="dxa"/>
            <w:shd w:val="clear" w:color="auto" w:fill="FFF2CC" w:themeFill="accent4" w:themeFillTint="33"/>
          </w:tcPr>
          <w:p w14:paraId="00A2B8F8" w14:textId="77777777" w:rsidR="00854598" w:rsidRPr="0013320D" w:rsidRDefault="00854598" w:rsidP="001B44DE">
            <w:pPr>
              <w:rPr>
                <w:sz w:val="22"/>
                <w:szCs w:val="22"/>
              </w:rPr>
            </w:pPr>
            <w:r w:rsidRPr="0013320D">
              <w:rPr>
                <w:sz w:val="22"/>
                <w:szCs w:val="22"/>
              </w:rPr>
              <w:t>3</w:t>
            </w:r>
          </w:p>
        </w:tc>
        <w:tc>
          <w:tcPr>
            <w:tcW w:w="3510" w:type="dxa"/>
            <w:shd w:val="clear" w:color="auto" w:fill="FFF2CC" w:themeFill="accent4" w:themeFillTint="33"/>
          </w:tcPr>
          <w:p w14:paraId="7D9EB9C3" w14:textId="77777777" w:rsidR="00854598" w:rsidRDefault="00854598" w:rsidP="001B4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EITHER of the following:</w:t>
            </w:r>
          </w:p>
          <w:p w14:paraId="4D496C78" w14:textId="77777777" w:rsidR="00854598" w:rsidRPr="0013320D" w:rsidRDefault="00854598" w:rsidP="001B44DE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13320D">
              <w:rPr>
                <w:sz w:val="22"/>
                <w:szCs w:val="22"/>
              </w:rPr>
              <w:t xml:space="preserve">CDC community </w:t>
            </w:r>
            <w:r>
              <w:rPr>
                <w:b/>
                <w:sz w:val="22"/>
                <w:szCs w:val="22"/>
              </w:rPr>
              <w:t>level Medium</w:t>
            </w:r>
          </w:p>
          <w:p w14:paraId="14D31BED" w14:textId="77777777" w:rsidR="00854598" w:rsidRPr="0013320D" w:rsidRDefault="00854598" w:rsidP="001B44DE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Two or more, but less than half,</w:t>
            </w:r>
            <w:r w:rsidRPr="0013320D">
              <w:rPr>
                <w:sz w:val="22"/>
                <w:szCs w:val="22"/>
              </w:rPr>
              <w:t xml:space="preserve"> of Montgomery County’s indicators </w:t>
            </w:r>
            <w:r w:rsidRPr="0013320D">
              <w:rPr>
                <w:b/>
                <w:sz w:val="22"/>
                <w:szCs w:val="22"/>
              </w:rPr>
              <w:t>High</w:t>
            </w:r>
            <w:r w:rsidRPr="0013320D">
              <w:rPr>
                <w:sz w:val="22"/>
                <w:szCs w:val="22"/>
              </w:rPr>
              <w:t>.</w:t>
            </w:r>
          </w:p>
        </w:tc>
        <w:tc>
          <w:tcPr>
            <w:tcW w:w="4675" w:type="dxa"/>
            <w:shd w:val="clear" w:color="auto" w:fill="FFF2CC" w:themeFill="accent4" w:themeFillTint="33"/>
          </w:tcPr>
          <w:p w14:paraId="71B8E117" w14:textId="77777777" w:rsidR="002B019B" w:rsidRDefault="00854598" w:rsidP="001B44DE">
            <w:pPr>
              <w:rPr>
                <w:sz w:val="22"/>
                <w:szCs w:val="22"/>
              </w:rPr>
            </w:pPr>
            <w:r w:rsidRPr="0013320D">
              <w:rPr>
                <w:sz w:val="22"/>
                <w:szCs w:val="22"/>
              </w:rPr>
              <w:t>-In-person Meeting for Worship in the Meetinghouse.</w:t>
            </w:r>
            <w:r>
              <w:rPr>
                <w:sz w:val="22"/>
                <w:szCs w:val="22"/>
              </w:rPr>
              <w:t xml:space="preserve">  </w:t>
            </w:r>
          </w:p>
          <w:p w14:paraId="01E30EE5" w14:textId="08C11114" w:rsidR="00854598" w:rsidRPr="0013320D" w:rsidRDefault="00854598" w:rsidP="001B4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Virtual (Zoom) meetings also available.</w:t>
            </w:r>
          </w:p>
          <w:p w14:paraId="7EBF18B7" w14:textId="439C4ABB" w:rsidR="00854598" w:rsidRDefault="00854598" w:rsidP="001B44DE">
            <w:pPr>
              <w:rPr>
                <w:sz w:val="22"/>
                <w:szCs w:val="22"/>
              </w:rPr>
            </w:pPr>
            <w:r w:rsidRPr="0013320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No food or drink</w:t>
            </w:r>
            <w:r w:rsidR="00130ADF">
              <w:rPr>
                <w:sz w:val="22"/>
                <w:szCs w:val="22"/>
              </w:rPr>
              <w:t xml:space="preserve"> </w:t>
            </w:r>
            <w:r w:rsidR="002B019B">
              <w:rPr>
                <w:sz w:val="22"/>
                <w:szCs w:val="22"/>
              </w:rPr>
              <w:t>inside buildings</w:t>
            </w:r>
            <w:r w:rsidR="00130ADF">
              <w:rPr>
                <w:sz w:val="22"/>
                <w:szCs w:val="22"/>
              </w:rPr>
              <w:t>.</w:t>
            </w:r>
          </w:p>
          <w:p w14:paraId="04242729" w14:textId="77777777" w:rsidR="00854598" w:rsidRDefault="00854598" w:rsidP="001B4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-In-person requirements for Meeting for Worship or other gatherings</w:t>
            </w:r>
          </w:p>
          <w:p w14:paraId="79FF120E" w14:textId="77777777" w:rsidR="00854598" w:rsidRDefault="00854598" w:rsidP="001B44DE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Masks required</w:t>
            </w:r>
          </w:p>
          <w:p w14:paraId="49648BD6" w14:textId="5DEBB5EF" w:rsidR="00854598" w:rsidRPr="0013320D" w:rsidRDefault="00854598" w:rsidP="001B44DE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Social distancing (6 feet) required except </w:t>
            </w:r>
            <w:r w:rsidR="002B019B">
              <w:rPr>
                <w:sz w:val="22"/>
                <w:szCs w:val="22"/>
              </w:rPr>
              <w:t>households</w:t>
            </w:r>
            <w:r>
              <w:rPr>
                <w:sz w:val="22"/>
                <w:szCs w:val="22"/>
              </w:rPr>
              <w:t xml:space="preserve"> may be seated together</w:t>
            </w:r>
          </w:p>
          <w:p w14:paraId="3155682F" w14:textId="36AF6F09" w:rsidR="00854598" w:rsidRPr="0013320D" w:rsidRDefault="00854598" w:rsidP="001B44DE">
            <w:pPr>
              <w:rPr>
                <w:sz w:val="22"/>
                <w:szCs w:val="22"/>
              </w:rPr>
            </w:pPr>
            <w:r w:rsidRPr="0013320D">
              <w:rPr>
                <w:sz w:val="22"/>
                <w:szCs w:val="22"/>
              </w:rPr>
              <w:t>-First Day School activities</w:t>
            </w:r>
            <w:r w:rsidR="002B019B">
              <w:rPr>
                <w:sz w:val="22"/>
                <w:szCs w:val="22"/>
              </w:rPr>
              <w:t xml:space="preserve"> outdoors if indoors risk is high</w:t>
            </w:r>
            <w:r w:rsidRPr="0013320D">
              <w:rPr>
                <w:sz w:val="22"/>
                <w:szCs w:val="22"/>
              </w:rPr>
              <w:t xml:space="preserve"> *</w:t>
            </w:r>
          </w:p>
          <w:p w14:paraId="348AABF1" w14:textId="3EC3B7BE" w:rsidR="00854598" w:rsidRDefault="00854598" w:rsidP="001B44DE">
            <w:pPr>
              <w:rPr>
                <w:sz w:val="22"/>
                <w:szCs w:val="22"/>
              </w:rPr>
            </w:pPr>
            <w:r w:rsidRPr="0013320D">
              <w:rPr>
                <w:sz w:val="22"/>
                <w:szCs w:val="22"/>
              </w:rPr>
              <w:lastRenderedPageBreak/>
              <w:t>-Child care services provided in Lyceum</w:t>
            </w:r>
            <w:r w:rsidR="00D53AB7">
              <w:rPr>
                <w:sz w:val="22"/>
                <w:szCs w:val="22"/>
              </w:rPr>
              <w:t xml:space="preserve"> as long as risk is reasonable</w:t>
            </w:r>
            <w:r w:rsidRPr="0013320D">
              <w:rPr>
                <w:sz w:val="22"/>
                <w:szCs w:val="22"/>
              </w:rPr>
              <w:t>*</w:t>
            </w:r>
          </w:p>
          <w:p w14:paraId="46F3005C" w14:textId="5043346E" w:rsidR="00854598" w:rsidRDefault="00854598" w:rsidP="001B4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-Notification of COVID infection or test positivity</w:t>
            </w:r>
            <w:r w:rsidR="00130ADF">
              <w:rPr>
                <w:sz w:val="22"/>
                <w:szCs w:val="22"/>
              </w:rPr>
              <w:t xml:space="preserve"> </w:t>
            </w:r>
            <w:r w:rsidR="00905E79">
              <w:rPr>
                <w:sz w:val="22"/>
                <w:szCs w:val="22"/>
              </w:rPr>
              <w:t xml:space="preserve">to meeting coordinator </w:t>
            </w:r>
            <w:r>
              <w:rPr>
                <w:sz w:val="22"/>
                <w:szCs w:val="22"/>
              </w:rPr>
              <w:t>by person attending an in-person community event so SSM can inform attendees of the same event.</w:t>
            </w:r>
          </w:p>
          <w:p w14:paraId="7361B205" w14:textId="3D3F3F0C" w:rsidR="00122694" w:rsidRPr="0013320D" w:rsidRDefault="00122694" w:rsidP="001B4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People with </w:t>
            </w:r>
            <w:r w:rsidR="00905E79">
              <w:rPr>
                <w:sz w:val="22"/>
                <w:szCs w:val="22"/>
              </w:rPr>
              <w:t xml:space="preserve">cough, sore throat, </w:t>
            </w:r>
            <w:r>
              <w:rPr>
                <w:sz w:val="22"/>
                <w:szCs w:val="22"/>
              </w:rPr>
              <w:t>or fever should only attend Virtual meetings</w:t>
            </w:r>
          </w:p>
          <w:p w14:paraId="05F7598A" w14:textId="77777777" w:rsidR="00854598" w:rsidRPr="0013320D" w:rsidRDefault="00854598" w:rsidP="001B4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13320D">
              <w:rPr>
                <w:sz w:val="22"/>
                <w:szCs w:val="22"/>
              </w:rPr>
              <w:t xml:space="preserve">COVID vaccination </w:t>
            </w:r>
            <w:r>
              <w:rPr>
                <w:sz w:val="22"/>
                <w:szCs w:val="22"/>
              </w:rPr>
              <w:t xml:space="preserve">and boosters strongly </w:t>
            </w:r>
            <w:r w:rsidRPr="0013320D">
              <w:rPr>
                <w:sz w:val="22"/>
                <w:szCs w:val="22"/>
              </w:rPr>
              <w:t>recommended</w:t>
            </w:r>
          </w:p>
        </w:tc>
      </w:tr>
      <w:tr w:rsidR="00854598" w:rsidRPr="0013320D" w14:paraId="208CB94C" w14:textId="77777777" w:rsidTr="00B33EB6">
        <w:tc>
          <w:tcPr>
            <w:tcW w:w="1165" w:type="dxa"/>
            <w:shd w:val="clear" w:color="auto" w:fill="F7CAAC" w:themeFill="accent2" w:themeFillTint="66"/>
          </w:tcPr>
          <w:p w14:paraId="1C975BBA" w14:textId="77777777" w:rsidR="00854598" w:rsidRPr="0013320D" w:rsidRDefault="00854598" w:rsidP="001B44DE">
            <w:pPr>
              <w:rPr>
                <w:sz w:val="22"/>
                <w:szCs w:val="22"/>
              </w:rPr>
            </w:pPr>
            <w:r w:rsidRPr="0013320D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510" w:type="dxa"/>
            <w:shd w:val="clear" w:color="auto" w:fill="F7CAAC" w:themeFill="accent2" w:themeFillTint="66"/>
          </w:tcPr>
          <w:p w14:paraId="75A6B320" w14:textId="77777777" w:rsidR="00854598" w:rsidRDefault="00854598" w:rsidP="001B4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EITHER of the following:</w:t>
            </w:r>
          </w:p>
          <w:p w14:paraId="1732DA8C" w14:textId="77777777" w:rsidR="00854598" w:rsidRPr="0013320D" w:rsidRDefault="00854598" w:rsidP="001B44DE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3320D">
              <w:rPr>
                <w:sz w:val="22"/>
                <w:szCs w:val="22"/>
              </w:rPr>
              <w:t>CDC community level</w:t>
            </w:r>
            <w:r w:rsidRPr="0013320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High</w:t>
            </w:r>
          </w:p>
          <w:p w14:paraId="14F6F385" w14:textId="3E628D18" w:rsidR="00854598" w:rsidRPr="0013320D" w:rsidRDefault="00854598" w:rsidP="001B44DE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Half </w:t>
            </w:r>
            <w:r w:rsidRPr="0013320D">
              <w:rPr>
                <w:sz w:val="22"/>
                <w:szCs w:val="22"/>
              </w:rPr>
              <w:t xml:space="preserve">or more, but </w:t>
            </w:r>
            <w:r w:rsidR="00905E79">
              <w:rPr>
                <w:sz w:val="22"/>
                <w:szCs w:val="22"/>
              </w:rPr>
              <w:t>more</w:t>
            </w:r>
            <w:r w:rsidR="00905E79" w:rsidRPr="0013320D">
              <w:rPr>
                <w:sz w:val="22"/>
                <w:szCs w:val="22"/>
              </w:rPr>
              <w:t xml:space="preserve"> </w:t>
            </w:r>
            <w:r w:rsidRPr="0013320D">
              <w:rPr>
                <w:sz w:val="22"/>
                <w:szCs w:val="22"/>
              </w:rPr>
              <w:t xml:space="preserve">than half, of Montgomery County’s indicators </w:t>
            </w:r>
            <w:r w:rsidRPr="0013320D">
              <w:rPr>
                <w:b/>
                <w:sz w:val="22"/>
                <w:szCs w:val="22"/>
              </w:rPr>
              <w:t>High</w:t>
            </w:r>
            <w:r w:rsidRPr="0013320D">
              <w:rPr>
                <w:sz w:val="22"/>
                <w:szCs w:val="22"/>
              </w:rPr>
              <w:t>.</w:t>
            </w:r>
          </w:p>
        </w:tc>
        <w:tc>
          <w:tcPr>
            <w:tcW w:w="4675" w:type="dxa"/>
            <w:shd w:val="clear" w:color="auto" w:fill="F7CAAC" w:themeFill="accent2" w:themeFillTint="66"/>
          </w:tcPr>
          <w:p w14:paraId="60E8F3CE" w14:textId="77777777" w:rsidR="00854598" w:rsidRPr="0013320D" w:rsidRDefault="00854598" w:rsidP="001B44DE">
            <w:pPr>
              <w:rPr>
                <w:sz w:val="22"/>
                <w:szCs w:val="22"/>
              </w:rPr>
            </w:pPr>
            <w:r w:rsidRPr="0013320D">
              <w:rPr>
                <w:sz w:val="22"/>
                <w:szCs w:val="22"/>
              </w:rPr>
              <w:t xml:space="preserve">-In-person Meeting for Worship </w:t>
            </w:r>
            <w:r>
              <w:rPr>
                <w:sz w:val="22"/>
                <w:szCs w:val="22"/>
              </w:rPr>
              <w:t>outdoors only.  Virtual (Zoom) meetings also available.</w:t>
            </w:r>
          </w:p>
          <w:p w14:paraId="63DE1268" w14:textId="65CBB479" w:rsidR="00854598" w:rsidRDefault="00854598" w:rsidP="001B44DE">
            <w:pPr>
              <w:rPr>
                <w:sz w:val="22"/>
                <w:szCs w:val="22"/>
              </w:rPr>
            </w:pPr>
            <w:r w:rsidRPr="0013320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No food or drink </w:t>
            </w:r>
            <w:r w:rsidR="002B019B">
              <w:rPr>
                <w:sz w:val="22"/>
                <w:szCs w:val="22"/>
              </w:rPr>
              <w:t>inside building</w:t>
            </w:r>
            <w:r w:rsidR="00170496">
              <w:rPr>
                <w:sz w:val="22"/>
                <w:szCs w:val="22"/>
              </w:rPr>
              <w:t>s</w:t>
            </w:r>
          </w:p>
          <w:p w14:paraId="59750130" w14:textId="2DD30C24" w:rsidR="00854598" w:rsidRDefault="00854598" w:rsidP="001B4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05E79">
              <w:rPr>
                <w:sz w:val="22"/>
                <w:szCs w:val="22"/>
              </w:rPr>
              <w:t>For  any other i</w:t>
            </w:r>
            <w:r>
              <w:rPr>
                <w:sz w:val="22"/>
                <w:szCs w:val="22"/>
              </w:rPr>
              <w:t>n-person gatherings</w:t>
            </w:r>
          </w:p>
          <w:p w14:paraId="78BB6D5E" w14:textId="6297CF16" w:rsidR="00854598" w:rsidRDefault="00854598" w:rsidP="001B44DE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Masks </w:t>
            </w:r>
            <w:r w:rsidR="00130ADF">
              <w:rPr>
                <w:sz w:val="22"/>
                <w:szCs w:val="22"/>
              </w:rPr>
              <w:t>required.</w:t>
            </w:r>
          </w:p>
          <w:p w14:paraId="495FB4AC" w14:textId="63C6045A" w:rsidR="00854598" w:rsidRDefault="00854598" w:rsidP="001B44DE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Social distancing (6 feet) required except </w:t>
            </w:r>
            <w:r w:rsidR="00905E79">
              <w:rPr>
                <w:sz w:val="22"/>
                <w:szCs w:val="22"/>
              </w:rPr>
              <w:t>households</w:t>
            </w:r>
            <w:r>
              <w:rPr>
                <w:sz w:val="22"/>
                <w:szCs w:val="22"/>
              </w:rPr>
              <w:t xml:space="preserve"> may be seated together</w:t>
            </w:r>
          </w:p>
          <w:p w14:paraId="77A2F855" w14:textId="3EA1E642" w:rsidR="00854598" w:rsidRPr="0013320D" w:rsidRDefault="00854598" w:rsidP="001B44DE">
            <w:pPr>
              <w:rPr>
                <w:sz w:val="22"/>
                <w:szCs w:val="22"/>
              </w:rPr>
            </w:pPr>
            <w:r w:rsidRPr="0013320D">
              <w:rPr>
                <w:sz w:val="22"/>
                <w:szCs w:val="22"/>
              </w:rPr>
              <w:t>-First Day School activities outdoors*</w:t>
            </w:r>
          </w:p>
          <w:p w14:paraId="421DCA84" w14:textId="0F5FFDA7" w:rsidR="00854598" w:rsidRDefault="00854598" w:rsidP="001B44DE">
            <w:pPr>
              <w:rPr>
                <w:sz w:val="22"/>
                <w:szCs w:val="22"/>
              </w:rPr>
            </w:pPr>
            <w:r w:rsidRPr="0013320D">
              <w:rPr>
                <w:sz w:val="22"/>
                <w:szCs w:val="22"/>
              </w:rPr>
              <w:t xml:space="preserve">-Child care services </w:t>
            </w:r>
            <w:r w:rsidR="002B019B">
              <w:rPr>
                <w:sz w:val="22"/>
                <w:szCs w:val="22"/>
              </w:rPr>
              <w:t xml:space="preserve">not </w:t>
            </w:r>
            <w:r w:rsidRPr="0013320D">
              <w:rPr>
                <w:sz w:val="22"/>
                <w:szCs w:val="22"/>
              </w:rPr>
              <w:t>provided in Lyceum*</w:t>
            </w:r>
          </w:p>
          <w:p w14:paraId="0BEF0AB0" w14:textId="473201E3" w:rsidR="00854598" w:rsidRDefault="00854598" w:rsidP="001B4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-Notification of COVID infection or test positivity</w:t>
            </w:r>
            <w:r w:rsidR="00905E79">
              <w:rPr>
                <w:sz w:val="22"/>
                <w:szCs w:val="22"/>
              </w:rPr>
              <w:t xml:space="preserve"> to meeting coordinator</w:t>
            </w:r>
            <w:r>
              <w:rPr>
                <w:sz w:val="22"/>
                <w:szCs w:val="22"/>
              </w:rPr>
              <w:t xml:space="preserve"> by person attending an in-person community event so SSM can inform attendees of the same event.</w:t>
            </w:r>
          </w:p>
          <w:p w14:paraId="6C79C884" w14:textId="640B4B97" w:rsidR="00122694" w:rsidRPr="0013320D" w:rsidRDefault="00122694" w:rsidP="001B4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-People with </w:t>
            </w:r>
            <w:r w:rsidR="00905E79">
              <w:rPr>
                <w:sz w:val="22"/>
                <w:szCs w:val="22"/>
              </w:rPr>
              <w:t xml:space="preserve">cough, sore throat, </w:t>
            </w:r>
            <w:r>
              <w:rPr>
                <w:sz w:val="22"/>
                <w:szCs w:val="22"/>
              </w:rPr>
              <w:t>or fever should only attend Virtual meetings</w:t>
            </w:r>
          </w:p>
          <w:p w14:paraId="170E7434" w14:textId="77777777" w:rsidR="00854598" w:rsidRPr="0013320D" w:rsidRDefault="00854598" w:rsidP="001B44DE">
            <w:pPr>
              <w:rPr>
                <w:sz w:val="22"/>
                <w:szCs w:val="22"/>
              </w:rPr>
            </w:pPr>
            <w:r w:rsidRPr="0013320D">
              <w:rPr>
                <w:sz w:val="22"/>
                <w:szCs w:val="22"/>
              </w:rPr>
              <w:t xml:space="preserve">-COVID vaccination </w:t>
            </w:r>
            <w:r>
              <w:rPr>
                <w:sz w:val="22"/>
                <w:szCs w:val="22"/>
              </w:rPr>
              <w:t xml:space="preserve">and boosters </w:t>
            </w:r>
            <w:r w:rsidRPr="0013320D">
              <w:rPr>
                <w:sz w:val="22"/>
                <w:szCs w:val="22"/>
              </w:rPr>
              <w:t>strongly recommended</w:t>
            </w:r>
          </w:p>
        </w:tc>
      </w:tr>
      <w:tr w:rsidR="00854598" w:rsidRPr="0013320D" w14:paraId="7F7A1E5A" w14:textId="77777777" w:rsidTr="00B33EB6">
        <w:tc>
          <w:tcPr>
            <w:tcW w:w="1165" w:type="dxa"/>
            <w:shd w:val="clear" w:color="auto" w:fill="C45911" w:themeFill="accent2" w:themeFillShade="BF"/>
          </w:tcPr>
          <w:p w14:paraId="51AD5A3F" w14:textId="77777777" w:rsidR="00854598" w:rsidRPr="0013320D" w:rsidRDefault="00854598" w:rsidP="001B44DE">
            <w:pPr>
              <w:rPr>
                <w:sz w:val="22"/>
                <w:szCs w:val="22"/>
              </w:rPr>
            </w:pPr>
            <w:r w:rsidRPr="0013320D">
              <w:rPr>
                <w:sz w:val="22"/>
                <w:szCs w:val="22"/>
              </w:rPr>
              <w:t>5</w:t>
            </w:r>
          </w:p>
        </w:tc>
        <w:tc>
          <w:tcPr>
            <w:tcW w:w="3510" w:type="dxa"/>
            <w:shd w:val="clear" w:color="auto" w:fill="C45911" w:themeFill="accent2" w:themeFillShade="BF"/>
          </w:tcPr>
          <w:p w14:paraId="026C013A" w14:textId="77777777" w:rsidR="00854598" w:rsidRPr="0013320D" w:rsidRDefault="00854598" w:rsidP="001B4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National, state or county-wide shutdown of all activities. Closure of schools and public activities</w:t>
            </w:r>
            <w:r w:rsidR="00122694">
              <w:rPr>
                <w:sz w:val="22"/>
                <w:szCs w:val="22"/>
              </w:rPr>
              <w:t>.</w:t>
            </w:r>
          </w:p>
        </w:tc>
        <w:tc>
          <w:tcPr>
            <w:tcW w:w="4675" w:type="dxa"/>
            <w:shd w:val="clear" w:color="auto" w:fill="C45911" w:themeFill="accent2" w:themeFillShade="BF"/>
          </w:tcPr>
          <w:p w14:paraId="2E4FC345" w14:textId="77777777" w:rsidR="00170496" w:rsidRDefault="00854598" w:rsidP="001B4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 in-person activities suspended.  </w:t>
            </w:r>
          </w:p>
          <w:p w14:paraId="1C6ACDF6" w14:textId="77777777" w:rsidR="00170496" w:rsidRDefault="00854598" w:rsidP="001B4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Meeting for worship to be held only as a Virtual (Zoom) Meeting.  </w:t>
            </w:r>
          </w:p>
          <w:p w14:paraId="0477B57D" w14:textId="4502EDD5" w:rsidR="00854598" w:rsidRPr="0013320D" w:rsidRDefault="00854598" w:rsidP="001B4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committee and social gatherings will also be held as Virtual (Zoom) meetings.</w:t>
            </w:r>
          </w:p>
        </w:tc>
      </w:tr>
    </w:tbl>
    <w:p w14:paraId="0AEB5E65" w14:textId="77777777" w:rsidR="00854598" w:rsidRDefault="00854598" w:rsidP="00854598">
      <w:r>
        <w:t xml:space="preserve">*The current guidelines </w:t>
      </w:r>
      <w:r w:rsidR="00122694">
        <w:t xml:space="preserve"> (October 2023) </w:t>
      </w:r>
      <w:r>
        <w:t>for First Day School and Child Care services(level 1 risk level) are:</w:t>
      </w:r>
    </w:p>
    <w:p w14:paraId="02910F0E" w14:textId="77777777" w:rsidR="00854598" w:rsidRPr="00FB6978" w:rsidRDefault="00854598" w:rsidP="00854598">
      <w:pPr>
        <w:numPr>
          <w:ilvl w:val="1"/>
          <w:numId w:val="7"/>
        </w:numPr>
      </w:pPr>
      <w:r w:rsidRPr="00FB6978">
        <w:t>Sick children should be kept at home to prevent infecting other children and adults in First Day School.</w:t>
      </w:r>
    </w:p>
    <w:p w14:paraId="11FB2EB5" w14:textId="77777777" w:rsidR="00854598" w:rsidRPr="00FB6978" w:rsidRDefault="00854598" w:rsidP="00854598">
      <w:pPr>
        <w:numPr>
          <w:ilvl w:val="1"/>
          <w:numId w:val="7"/>
        </w:numPr>
      </w:pPr>
      <w:r w:rsidRPr="00FB6978">
        <w:t>All First Day Teachers should be vaccinated for COVID, after consultation with the health care providers.</w:t>
      </w:r>
    </w:p>
    <w:p w14:paraId="6C3B8615" w14:textId="77777777" w:rsidR="00854598" w:rsidRPr="00FB6978" w:rsidRDefault="00854598" w:rsidP="00854598">
      <w:pPr>
        <w:numPr>
          <w:ilvl w:val="1"/>
          <w:numId w:val="7"/>
        </w:numPr>
      </w:pPr>
      <w:r w:rsidRPr="00FB6978">
        <w:t>In the nursery, teachers and other volunteers are required to use masks.</w:t>
      </w:r>
    </w:p>
    <w:p w14:paraId="4293CA8A" w14:textId="77777777" w:rsidR="00854598" w:rsidRDefault="00854598" w:rsidP="00854598">
      <w:pPr>
        <w:numPr>
          <w:ilvl w:val="1"/>
          <w:numId w:val="7"/>
        </w:numPr>
      </w:pPr>
      <w:r w:rsidRPr="00FB6978">
        <w:t>In the other First Day Classes, use of masks by the teachers is optional</w:t>
      </w:r>
    </w:p>
    <w:p w14:paraId="3ACDF42A" w14:textId="205FC2FD" w:rsidR="00854598" w:rsidRPr="00FB6978" w:rsidRDefault="00854598" w:rsidP="00854598">
      <w:r>
        <w:t>The guidelines</w:t>
      </w:r>
      <w:r w:rsidR="001641D4">
        <w:t xml:space="preserve"> for First Day School and Child Care services</w:t>
      </w:r>
      <w:r>
        <w:t xml:space="preserve"> will be adjusted to conform with changes in risk levels.</w:t>
      </w:r>
    </w:p>
    <w:p w14:paraId="0A1CB58B" w14:textId="77777777" w:rsidR="00FB6978" w:rsidRDefault="00FB6978" w:rsidP="00FB6978"/>
    <w:p w14:paraId="0A6D5783" w14:textId="77777777" w:rsidR="00FB6978" w:rsidRDefault="00FB6978" w:rsidP="00FB6978"/>
    <w:p w14:paraId="1FC2F10B" w14:textId="77777777" w:rsidR="00FB6978" w:rsidRDefault="00FB6978" w:rsidP="00FB6978"/>
    <w:p w14:paraId="14A5EC2B" w14:textId="77777777" w:rsidR="00FB6978" w:rsidRDefault="00FB6978" w:rsidP="00FB6978"/>
    <w:p w14:paraId="3C61F7CD" w14:textId="77777777" w:rsidR="00FB6978" w:rsidRDefault="00FB6978" w:rsidP="00FB6978"/>
    <w:p w14:paraId="16E01688" w14:textId="77777777" w:rsidR="00FB6978" w:rsidRDefault="00FB6978" w:rsidP="00FB6978"/>
    <w:sectPr w:rsidR="00FB6978" w:rsidSect="00870190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58BDADB" w16cex:dateUtc="2023-11-15T15:54:00Z"/>
  <w16cex:commentExtensible w16cex:durableId="67638204" w16cex:dateUtc="2023-11-15T16:0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EBD09" w14:textId="77777777" w:rsidR="00A44484" w:rsidRDefault="00A44484" w:rsidP="0013320D">
      <w:r>
        <w:separator/>
      </w:r>
    </w:p>
  </w:endnote>
  <w:endnote w:type="continuationSeparator" w:id="0">
    <w:p w14:paraId="3B60016F" w14:textId="77777777" w:rsidR="00A44484" w:rsidRDefault="00A44484" w:rsidP="00133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07338664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F8554F2" w14:textId="77777777" w:rsidR="00854598" w:rsidRDefault="00854598" w:rsidP="00F14CB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9189ADB" w14:textId="77777777" w:rsidR="00854598" w:rsidRDefault="00854598" w:rsidP="008545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4497040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C47FC9E" w14:textId="77777777" w:rsidR="00854598" w:rsidRDefault="00854598" w:rsidP="00F14CB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0B31975" w14:textId="77777777" w:rsidR="00854598" w:rsidRDefault="00854598" w:rsidP="0085459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F9845" w14:textId="77777777" w:rsidR="00A44484" w:rsidRDefault="00A44484" w:rsidP="0013320D">
      <w:r>
        <w:separator/>
      </w:r>
    </w:p>
  </w:footnote>
  <w:footnote w:type="continuationSeparator" w:id="0">
    <w:p w14:paraId="4E740F27" w14:textId="77777777" w:rsidR="00A44484" w:rsidRDefault="00A44484" w:rsidP="00133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2F89B" w14:textId="14C8234D" w:rsidR="0013320D" w:rsidRDefault="00854598" w:rsidP="0013320D">
    <w:pPr>
      <w:pStyle w:val="Header"/>
      <w:jc w:val="right"/>
    </w:pPr>
    <w:r>
      <w:t>Ad Hoc Public Health and Safety Committee</w:t>
    </w:r>
    <w:r>
      <w:tab/>
    </w:r>
    <w:r>
      <w:tab/>
    </w:r>
    <w:r w:rsidR="0013320D"/>
    <w:r w:rsidR="0013320D">
      <w:instrText xml:space="preserve"/>
    </w:r>
    <w:r w:rsidR="0013320D"/>
    <w:r w:rsidR="00376C33">
      <w:rPr>
        <w:noProof/>
      </w:rPr>
      <w:t>1/4/2024</w:t>
    </w:r>
    <w:r w:rsidR="0013320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B7591"/>
    <w:multiLevelType w:val="hybridMultilevel"/>
    <w:tmpl w:val="9F527E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67622D"/>
    <w:multiLevelType w:val="hybridMultilevel"/>
    <w:tmpl w:val="6422E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93C27"/>
    <w:multiLevelType w:val="hybridMultilevel"/>
    <w:tmpl w:val="9312BD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174548"/>
    <w:multiLevelType w:val="hybridMultilevel"/>
    <w:tmpl w:val="B712BE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DD704D"/>
    <w:multiLevelType w:val="hybridMultilevel"/>
    <w:tmpl w:val="16A41424"/>
    <w:lvl w:ilvl="0" w:tplc="ED405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BEB25A">
      <w:start w:val="168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AE1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3670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305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9C8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FA4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CC2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327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C5B7B8F"/>
    <w:multiLevelType w:val="multilevel"/>
    <w:tmpl w:val="DC683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6010C0"/>
    <w:multiLevelType w:val="hybridMultilevel"/>
    <w:tmpl w:val="36748A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20D"/>
    <w:rsid w:val="00071837"/>
    <w:rsid w:val="000C0F3D"/>
    <w:rsid w:val="00122694"/>
    <w:rsid w:val="00130ADF"/>
    <w:rsid w:val="0013320D"/>
    <w:rsid w:val="001641D4"/>
    <w:rsid w:val="00170496"/>
    <w:rsid w:val="001776B8"/>
    <w:rsid w:val="001F2F7E"/>
    <w:rsid w:val="002B019B"/>
    <w:rsid w:val="00376C33"/>
    <w:rsid w:val="0050154E"/>
    <w:rsid w:val="005B45D9"/>
    <w:rsid w:val="005E52F9"/>
    <w:rsid w:val="006971C2"/>
    <w:rsid w:val="006B3836"/>
    <w:rsid w:val="006E6C4A"/>
    <w:rsid w:val="007925A9"/>
    <w:rsid w:val="007B016D"/>
    <w:rsid w:val="00854598"/>
    <w:rsid w:val="00870190"/>
    <w:rsid w:val="00905E79"/>
    <w:rsid w:val="009532A8"/>
    <w:rsid w:val="00A44484"/>
    <w:rsid w:val="00AB101E"/>
    <w:rsid w:val="00B33DC9"/>
    <w:rsid w:val="00B33EB6"/>
    <w:rsid w:val="00B437FC"/>
    <w:rsid w:val="00C857C2"/>
    <w:rsid w:val="00D2797E"/>
    <w:rsid w:val="00D53AB7"/>
    <w:rsid w:val="00D77568"/>
    <w:rsid w:val="00E02D7F"/>
    <w:rsid w:val="00E178C7"/>
    <w:rsid w:val="00E640F2"/>
    <w:rsid w:val="00EF23E8"/>
    <w:rsid w:val="00FB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230288"/>
  <w14:defaultImageDpi w14:val="32767"/>
  <w15:chartTrackingRefBased/>
  <w15:docId w15:val="{633AED45-E623-034D-A5FD-7A881139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B6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3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3320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332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20D"/>
  </w:style>
  <w:style w:type="paragraph" w:styleId="Footer">
    <w:name w:val="footer"/>
    <w:basedOn w:val="Normal"/>
    <w:link w:val="FooterChar"/>
    <w:uiPriority w:val="99"/>
    <w:unhideWhenUsed/>
    <w:rsid w:val="001332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20D"/>
  </w:style>
  <w:style w:type="paragraph" w:styleId="ListParagraph">
    <w:name w:val="List Paragraph"/>
    <w:basedOn w:val="Normal"/>
    <w:uiPriority w:val="34"/>
    <w:qFormat/>
    <w:rsid w:val="0013320D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54598"/>
  </w:style>
  <w:style w:type="paragraph" w:styleId="Revision">
    <w:name w:val="Revision"/>
    <w:hidden/>
    <w:uiPriority w:val="99"/>
    <w:semiHidden/>
    <w:rsid w:val="000C0F3D"/>
  </w:style>
  <w:style w:type="character" w:styleId="CommentReference">
    <w:name w:val="annotation reference"/>
    <w:basedOn w:val="DefaultParagraphFont"/>
    <w:uiPriority w:val="99"/>
    <w:semiHidden/>
    <w:unhideWhenUsed/>
    <w:rsid w:val="001F2F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2F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2F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F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2F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E7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E79"/>
    <w:rPr>
      <w:rFonts w:ascii="Times New Roman" w:hAnsi="Times New Roman" w:cs="Times New Roman"/>
      <w:sz w:val="18"/>
      <w:szCs w:val="18"/>
    </w:rPr>
  </w:style>
  <w:style w:type="character" w:customStyle="1" w:styleId="gmail-apple-converted-space">
    <w:name w:val="gmail-apple-converted-space"/>
    <w:basedOn w:val="DefaultParagraphFont"/>
    <w:rsid w:val="00164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6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6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0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8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7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3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68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51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6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22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53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Lehky</dc:creator>
  <cp:keywords/>
  <dc:description/>
  <cp:lastModifiedBy>Tanya Lehky</cp:lastModifiedBy>
  <cp:revision>4</cp:revision>
  <dcterms:created xsi:type="dcterms:W3CDTF">2024-01-05T01:14:00Z</dcterms:created>
  <dcterms:modified xsi:type="dcterms:W3CDTF">2024-01-05T01:20:00Z</dcterms:modified>
</cp:coreProperties>
</file>